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495231"/>
    <w:rsid w:val="006B6E4F"/>
    <w:rsid w:val="006E6C0A"/>
    <w:rsid w:val="00754E48"/>
    <w:rsid w:val="00780985"/>
    <w:rsid w:val="0085701C"/>
    <w:rsid w:val="00882461"/>
    <w:rsid w:val="009D5AC8"/>
    <w:rsid w:val="00B43D73"/>
    <w:rsid w:val="00CD2DF0"/>
    <w:rsid w:val="00D421D6"/>
    <w:rsid w:val="00D50488"/>
    <w:rsid w:val="00D86138"/>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4</cp:revision>
  <cp:lastPrinted>2022-11-03T10:34:00Z</cp:lastPrinted>
  <dcterms:created xsi:type="dcterms:W3CDTF">2024-09-30T05:18:00Z</dcterms:created>
  <dcterms:modified xsi:type="dcterms:W3CDTF">2024-10-01T07:27:00Z</dcterms:modified>
  <dc:language>pl-PL</dc:language>
</cp:coreProperties>
</file>